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before="100" w:beforeAutospacing="1" w:after="100" w:afterAutospacing="1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 会 报 名 表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哈尔滨理工大学校友总会：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eastAsia="zh-CN"/>
        </w:rPr>
        <w:t>校友</w:t>
      </w:r>
      <w:r>
        <w:rPr>
          <w:rFonts w:hint="eastAsia" w:ascii="仿宋_GB2312" w:eastAsia="仿宋_GB2312"/>
          <w:sz w:val="32"/>
          <w:szCs w:val="32"/>
        </w:rPr>
        <w:t>会出席哈尔滨理工大学校友总会第三届理事会</w:t>
      </w:r>
      <w:r>
        <w:rPr>
          <w:rFonts w:hint="eastAsia" w:ascii="仿宋_GB2312" w:eastAsia="仿宋_GB2312"/>
          <w:sz w:val="32"/>
          <w:szCs w:val="32"/>
          <w:lang w:eastAsia="zh-CN"/>
        </w:rPr>
        <w:t>第四</w:t>
      </w:r>
      <w:r>
        <w:rPr>
          <w:rFonts w:hint="eastAsia" w:ascii="仿宋_GB2312" w:eastAsia="仿宋_GB2312"/>
          <w:sz w:val="32"/>
          <w:szCs w:val="32"/>
        </w:rPr>
        <w:t>次会议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人员名单</w:t>
      </w:r>
      <w:r>
        <w:rPr>
          <w:rFonts w:hint="eastAsia" w:ascii="仿宋_GB2312" w:eastAsia="仿宋_GB2312"/>
          <w:sz w:val="32"/>
          <w:szCs w:val="32"/>
          <w:lang w:eastAsia="zh-CN"/>
        </w:rPr>
        <w:t>如下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77"/>
        <w:gridCol w:w="1162"/>
        <w:gridCol w:w="1710"/>
        <w:gridCol w:w="1620"/>
        <w:gridCol w:w="2355"/>
        <w:gridCol w:w="1134"/>
        <w:gridCol w:w="1077"/>
        <w:gridCol w:w="1077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专业及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校友会职务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工作单位、职务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单人住宿/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拼房住宿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是否参观游览冰雪大世界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是否参加户外滑雪活动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备注：请务必详细准确填写</w:t>
      </w:r>
      <w:r>
        <w:rPr>
          <w:rFonts w:hint="eastAsia" w:ascii="楷体_GB2312" w:eastAsia="楷体_GB2312"/>
          <w:sz w:val="28"/>
          <w:szCs w:val="28"/>
          <w:lang w:eastAsia="zh-CN"/>
        </w:rPr>
        <w:t>；香格里拉大酒店大床房及标准间价格为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680元/天（含早餐）。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哈尔滨理工大学</w:t>
      </w:r>
      <w:r>
        <w:rPr>
          <w:rFonts w:hint="eastAsia" w:ascii="宋体" w:hAnsi="宋体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32"/>
        </w:rPr>
        <w:t>校友会</w:t>
      </w:r>
    </w:p>
    <w:p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                               2019年  月  日</w:t>
      </w:r>
      <w:r>
        <w:rPr>
          <w:rFonts w:hint="eastAsia" w:ascii="仿宋_GB2312" w:hAnsi="宋体" w:eastAsia="仿宋_GB2312"/>
          <w:sz w:val="32"/>
          <w:szCs w:val="32"/>
        </w:rPr>
        <w:t xml:space="preserve">     </w:t>
      </w:r>
      <w:bookmarkStart w:id="0" w:name="_GoBack"/>
      <w:bookmarkEnd w:id="0"/>
    </w:p>
    <w:sectPr>
      <w:pgSz w:w="16838" w:h="11906" w:orient="landscape"/>
      <w:pgMar w:top="1304" w:right="1304" w:bottom="56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93246"/>
    <w:rsid w:val="3A0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2019-12-20T09:51:00Z</dcterms:created>
  <dc:creator>王丽丽</dc:creator>
  <cp:lastModifiedBy>王丽丽</cp:lastModifiedBy>
  <dcterms:modified xsi:type="dcterms:W3CDTF">2019-12-20T09:52:20Z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